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727B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853440" cy="800100"/>
                <wp:effectExtent l="0" t="0" r="381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9B4E4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4.4pt;height:63pt;width:67.2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NWV1NUAAAAHAQAADwAAAAAAAAABACAAAAAiAAAAZHJzL2Rvd25yZXYueG1s&#10;UEsBAhQAFAAAAAgAh07iQF+lzBs0AgAAUQQAAA4AAAAAAAAAAQAgAAAAJAEAAGRycy9lMm9Eb2Mu&#10;eG1sUEsFBgAAAAAGAAYAWQEAAMo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9B4E456"/>
                  </w:txbxContent>
                </v:textbox>
                <w10:wrap type="square"/>
              </v:shape>
            </w:pict>
          </mc:Fallback>
        </mc:AlternateContent>
      </w:r>
    </w:p>
    <w:p w14:paraId="56FB2165">
      <w:pPr>
        <w:pStyle w:val="8"/>
        <w:spacing w:line="360" w:lineRule="auto"/>
        <w:ind w:left="0"/>
        <w:rPr>
          <w:rFonts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bookmarkStart w:id="0" w:name="OLE_LINK2"/>
      <w:r>
        <w:rPr>
          <w:rFonts w:hint="eastAsia" w:eastAsiaTheme="minorHAnsi"/>
          <w:b/>
          <w:bCs/>
          <w:color w:val="F7AC00"/>
          <w:sz w:val="48"/>
          <w:szCs w:val="4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LBT44GST4-M-SFP</w:t>
      </w:r>
    </w:p>
    <w:p w14:paraId="286FC541">
      <w:pPr>
        <w:pStyle w:val="8"/>
        <w:spacing w:line="360" w:lineRule="auto"/>
        <w:ind w:left="0"/>
        <w:rPr>
          <w:rFonts w:ascii="Arial" w:hAnsi="Arial" w:cs="Arial"/>
          <w:b/>
          <w:bCs/>
          <w:spacing w:val="-6"/>
          <w:sz w:val="30"/>
          <w:szCs w:val="30"/>
        </w:rPr>
      </w:pP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4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gigabit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+4</w:t>
      </w:r>
      <w:r>
        <w:rPr>
          <w:rFonts w:hint="eastAsia"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4"/>
          <w:sz w:val="28"/>
          <w:szCs w:val="2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10G SFP L3 Managed Industrial </w:t>
      </w:r>
      <w:r>
        <w:rPr>
          <w:rFonts w:ascii="Arial" w:hAnsi="Arial" w:cs="Arial" w:eastAsiaTheme="minorHAnsi"/>
          <w:b/>
          <w:bCs/>
          <w:color w:val="595959" w:themeColor="text1" w:themeTint="A6"/>
          <w:spacing w:val="-5"/>
          <w:sz w:val="28"/>
          <w:szCs w:val="2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Switch </w:t>
      </w:r>
      <w:bookmarkEnd w:id="0"/>
      <w:r>
        <w:rPr>
          <w:rFonts w:ascii="Arial" w:hAnsi="Arial" w:cs="Arial"/>
          <w:b/>
          <w:bCs/>
          <w:spacing w:val="-6"/>
          <w:sz w:val="30"/>
          <w:szCs w:val="30"/>
        </w:rPr>
        <w:t xml:space="preserve"> </w:t>
      </w:r>
    </w:p>
    <w:p w14:paraId="761B70D6">
      <w:pPr>
        <w:pStyle w:val="3"/>
        <w:jc w:val="both"/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eastAsiaTheme="minorHAnsi"/>
          <w:b/>
          <w:bCs/>
          <w:color w:val="595959" w:themeColor="text1" w:themeTint="A6"/>
          <w:spacing w:val="-5"/>
          <w:sz w:val="32"/>
          <w:szCs w:val="32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</w:t>
      </w:r>
      <w:r>
        <w:drawing>
          <wp:inline distT="0" distB="0" distL="114300" distR="114300">
            <wp:extent cx="2468880" cy="1541780"/>
            <wp:effectExtent l="0" t="0" r="7620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357F0">
      <w:pPr>
        <w:pStyle w:val="3"/>
        <w:jc w:val="both"/>
        <w:rPr>
          <w:rFonts w:eastAsiaTheme="minorEastAsia"/>
          <w:sz w:val="20"/>
          <w:lang w:eastAsia="zh-CN"/>
        </w:rPr>
      </w:pPr>
      <w:r>
        <w:rPr>
          <w:rFonts w:eastAsiaTheme="minorEastAsia"/>
          <w:sz w:val="20"/>
          <w:lang w:eastAsia="zh-CN"/>
        </w:rPr>
        <w:t xml:space="preserve">    </w:t>
      </w:r>
      <w:r>
        <w:rPr>
          <w:b/>
          <w:bCs/>
          <w:iCs/>
          <w:color w:val="005EA6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3810</wp:posOffset>
                </wp:positionV>
                <wp:extent cx="3336925" cy="7884160"/>
                <wp:effectExtent l="0" t="0" r="0" b="2540"/>
                <wp:wrapNone/>
                <wp:docPr id="295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36925" cy="7884160"/>
                        </a:xfrm>
                        <a:custGeom>
                          <a:avLst/>
                          <a:gdLst>
                            <a:gd name="T0" fmla="+- 0 11906 7143"/>
                            <a:gd name="T1" fmla="*/ T0 w 4763"/>
                            <a:gd name="T2" fmla="+- 0 1902 1902"/>
                            <a:gd name="T3" fmla="*/ 1902 h 12416"/>
                            <a:gd name="T4" fmla="+- 0 7404 7143"/>
                            <a:gd name="T5" fmla="*/ T4 w 4763"/>
                            <a:gd name="T6" fmla="+- 0 1902 1902"/>
                            <a:gd name="T7" fmla="*/ 1902 h 12416"/>
                            <a:gd name="T8" fmla="+- 0 7322 7143"/>
                            <a:gd name="T9" fmla="*/ T8 w 4763"/>
                            <a:gd name="T10" fmla="+- 0 1914 1902"/>
                            <a:gd name="T11" fmla="*/ 1914 h 12416"/>
                            <a:gd name="T12" fmla="+- 0 7250 7143"/>
                            <a:gd name="T13" fmla="*/ T12 w 4763"/>
                            <a:gd name="T14" fmla="+- 0 1949 1902"/>
                            <a:gd name="T15" fmla="*/ 1949 h 12416"/>
                            <a:gd name="T16" fmla="+- 0 7194 7143"/>
                            <a:gd name="T17" fmla="*/ T16 w 4763"/>
                            <a:gd name="T18" fmla="+- 0 2002 1902"/>
                            <a:gd name="T19" fmla="*/ 2002 h 12416"/>
                            <a:gd name="T20" fmla="+- 0 7157 7143"/>
                            <a:gd name="T21" fmla="*/ T20 w 4763"/>
                            <a:gd name="T22" fmla="+- 0 2069 1902"/>
                            <a:gd name="T23" fmla="*/ 2069 h 12416"/>
                            <a:gd name="T24" fmla="+- 0 7143 7143"/>
                            <a:gd name="T25" fmla="*/ T24 w 4763"/>
                            <a:gd name="T26" fmla="+- 0 2146 1902"/>
                            <a:gd name="T27" fmla="*/ 2146 h 12416"/>
                            <a:gd name="T28" fmla="+- 0 7143 7143"/>
                            <a:gd name="T29" fmla="*/ T28 w 4763"/>
                            <a:gd name="T30" fmla="+- 0 14074 1902"/>
                            <a:gd name="T31" fmla="*/ 14074 h 12416"/>
                            <a:gd name="T32" fmla="+- 0 7157 7143"/>
                            <a:gd name="T33" fmla="*/ T32 w 4763"/>
                            <a:gd name="T34" fmla="+- 0 14151 1902"/>
                            <a:gd name="T35" fmla="*/ 14151 h 12416"/>
                            <a:gd name="T36" fmla="+- 0 7194 7143"/>
                            <a:gd name="T37" fmla="*/ T36 w 4763"/>
                            <a:gd name="T38" fmla="+- 0 14218 1902"/>
                            <a:gd name="T39" fmla="*/ 14218 h 12416"/>
                            <a:gd name="T40" fmla="+- 0 7250 7143"/>
                            <a:gd name="T41" fmla="*/ T40 w 4763"/>
                            <a:gd name="T42" fmla="+- 0 14271 1902"/>
                            <a:gd name="T43" fmla="*/ 14271 h 12416"/>
                            <a:gd name="T44" fmla="+- 0 7322 7143"/>
                            <a:gd name="T45" fmla="*/ T44 w 4763"/>
                            <a:gd name="T46" fmla="+- 0 14305 1902"/>
                            <a:gd name="T47" fmla="*/ 14305 h 12416"/>
                            <a:gd name="T48" fmla="+- 0 7404 7143"/>
                            <a:gd name="T49" fmla="*/ T48 w 4763"/>
                            <a:gd name="T50" fmla="+- 0 14318 1902"/>
                            <a:gd name="T51" fmla="*/ 14318 h 12416"/>
                            <a:gd name="T52" fmla="+- 0 11906 7143"/>
                            <a:gd name="T53" fmla="*/ T52 w 4763"/>
                            <a:gd name="T54" fmla="+- 0 14318 1902"/>
                            <a:gd name="T55" fmla="*/ 14318 h 12416"/>
                            <a:gd name="T56" fmla="+- 0 11906 7143"/>
                            <a:gd name="T57" fmla="*/ T56 w 4763"/>
                            <a:gd name="T58" fmla="+- 0 1902 1902"/>
                            <a:gd name="T59" fmla="*/ 1902 h 12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763" h="12416">
                              <a:moveTo>
                                <a:pt x="4763" y="0"/>
                              </a:moveTo>
                              <a:lnTo>
                                <a:pt x="261" y="0"/>
                              </a:lnTo>
                              <a:lnTo>
                                <a:pt x="179" y="12"/>
                              </a:lnTo>
                              <a:lnTo>
                                <a:pt x="107" y="47"/>
                              </a:lnTo>
                              <a:lnTo>
                                <a:pt x="51" y="100"/>
                              </a:lnTo>
                              <a:lnTo>
                                <a:pt x="14" y="167"/>
                              </a:lnTo>
                              <a:lnTo>
                                <a:pt x="0" y="244"/>
                              </a:lnTo>
                              <a:lnTo>
                                <a:pt x="0" y="12172"/>
                              </a:lnTo>
                              <a:lnTo>
                                <a:pt x="14" y="12249"/>
                              </a:lnTo>
                              <a:lnTo>
                                <a:pt x="51" y="12316"/>
                              </a:lnTo>
                              <a:lnTo>
                                <a:pt x="107" y="12369"/>
                              </a:lnTo>
                              <a:lnTo>
                                <a:pt x="179" y="12403"/>
                              </a:lnTo>
                              <a:lnTo>
                                <a:pt x="261" y="12416"/>
                              </a:lnTo>
                              <a:lnTo>
                                <a:pt x="4763" y="12416"/>
                              </a:lnTo>
                              <a:lnTo>
                                <a:pt x="4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296.85pt;margin-top:0.3pt;height:620.8pt;width:262.75pt;z-index:251660288;mso-width-relative:page;mso-height-relative:page;" fillcolor="#EFEFEF" filled="t" stroked="f" coordsize="4763,12416" o:gfxdata="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" path="m4763,0l261,0,179,12,107,47,51,100,14,167,0,244,0,12172,14,12249,51,12316,107,12369,179,12403,261,12416,4763,12416,4763,0xe">
                <v:path o:connectlocs="3336925,1207770;182854,1207770;125406,1215390;74963,1237615;35730,1271270;9808,1313815;0,1362710;0,8936990;9808,8985885;35730,9028430;74963,9062085;125406,9083675;182854,9091930;3336925,9091930;3336925,1207770" o:connectangles="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sz w:val="20"/>
          <w:lang w:eastAsia="zh-CN"/>
        </w:rPr>
        <w:t xml:space="preserve"> </w:t>
      </w:r>
    </w:p>
    <w:p w14:paraId="485BEEF5">
      <w:pPr>
        <w:pStyle w:val="3"/>
        <w:tabs>
          <w:tab w:val="left" w:pos="5245"/>
        </w:tabs>
        <w:spacing w:before="5" w:line="417" w:lineRule="auto"/>
        <w:ind w:right="5132"/>
        <w:jc w:val="both"/>
        <w:rPr>
          <w:b/>
          <w:bCs/>
          <w:iCs/>
          <w:color w:val="005EA6"/>
          <w:sz w:val="18"/>
          <w:szCs w:val="18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3967480</wp:posOffset>
                </wp:positionH>
                <wp:positionV relativeFrom="paragraph">
                  <wp:posOffset>116840</wp:posOffset>
                </wp:positionV>
                <wp:extent cx="3003550" cy="6667500"/>
                <wp:effectExtent l="0" t="0" r="0" b="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666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1ABED7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firstLine="180" w:firstLineChars="100"/>
                              <w:jc w:val="left"/>
                              <w:rPr>
                                <w:rFonts w:ascii="Arial" w:hAnsi="Arial" w:eastAsia="Arial" w:cs="Arial"/>
                                <w:b/>
                                <w:bCs/>
                                <w:iCs/>
                                <w:color w:val="005EA6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b/>
                                <w:bCs/>
                                <w:iCs/>
                                <w:color w:val="005EA6"/>
                                <w:kern w:val="0"/>
                                <w:sz w:val="18"/>
                                <w:szCs w:val="18"/>
                              </w:rPr>
                              <w:t>Product features:</w:t>
                            </w:r>
                          </w:p>
                          <w:p w14:paraId="02053A0C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360" w:hanging="360" w:hangingChars="2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 Data control: Supports 802.3x full-duplex flow control and</w:t>
                            </w:r>
                          </w:p>
                          <w:p w14:paraId="136C8F87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358" w:leftChars="85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network storm suppression </w:t>
                            </w:r>
                          </w:p>
                          <w:p w14:paraId="48083F57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Redundant network: supports STP, RSTP, MSTP and ERPS </w:t>
                            </w:r>
                          </w:p>
                          <w:p w14:paraId="04DE83C6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Redundancy backup: supports the virtual route redundancy protocol VRRP </w:t>
                            </w:r>
                          </w:p>
                          <w:p w14:paraId="74EE9E75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Multicast management: Support IGMP Snooping V1, V2, and V3 </w:t>
                            </w:r>
                          </w:p>
                          <w:p w14:paraId="3FFF1BD9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</w:t>
                            </w:r>
                            <w:r>
                              <w:rPr>
                                <w:rFonts w:hint="eastAsia" w:ascii="Arial" w:hAnsi="Arial" w:eastAsia="宋体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VLAN: supports IEEE 802.1Q vlans to effectively isolate broadcast domains </w:t>
                            </w:r>
                          </w:p>
                          <w:p w14:paraId="1C8DBBCF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78" w:leftChars="85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Link aggregation: Support static/dynamic link aggregation, provide perfect bandwidth utilization </w:t>
                            </w:r>
                          </w:p>
                          <w:p w14:paraId="5494B0CE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●</w:t>
                            </w:r>
                            <w:r>
                              <w:rPr>
                                <w:rFonts w:hint="eastAsia" w:ascii="Arial" w:hAnsi="Arial" w:eastAsia="宋体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QOS: Support COS\DSCP, 4 queues, support WRR\SP scheduling mode </w:t>
                            </w:r>
                          </w:p>
                          <w:p w14:paraId="658DE4ED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Security management: Security management: supports ACL and 802.1x </w:t>
                            </w:r>
                          </w:p>
                          <w:p w14:paraId="04D39FFF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80" w:hanging="180" w:hangingChars="100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● Management: Supports WEB, CLI, and SNMP management </w:t>
                            </w:r>
                          </w:p>
                          <w:p w14:paraId="6A7C3EDD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ind w:left="178" w:leftChars="85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Monitoring and maintenance: Support port mirroring, interface status monitoring, log management</w:t>
                            </w:r>
                          </w:p>
                          <w:p w14:paraId="1DF4BC83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eastAsia="Arial" w:cs="Arial"/>
                                <w:iCs/>
                                <w:color w:val="595959" w:themeColor="text1" w:themeTint="A6"/>
                                <w:kern w:val="0"/>
                                <w:sz w:val="18"/>
                                <w:szCs w:val="18"/>
                                <w:lang w:eastAsia="en-U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6BA74FDF">
                            <w:pPr>
                              <w:tabs>
                                <w:tab w:val="left" w:pos="181"/>
                              </w:tabs>
                              <w:autoSpaceDE w:val="0"/>
                              <w:autoSpaceDN w:val="0"/>
                              <w:spacing w:before="128" w:line="360" w:lineRule="auto"/>
                              <w:jc w:val="left"/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28"/>
                              </w:rPr>
                            </w:pPr>
                          </w:p>
                          <w:p w14:paraId="7237E22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312.4pt;margin-top:9.2pt;height:525pt;width:236.5pt;z-index:251663360;mso-width-relative:page;mso-height-relative:page;" filled="f" stroked="f" coordsize="21600,21600" o:gfxdata="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IQHxPZAAAADAEAAA8AAAAAAAAAAQAgAAAAIgAAAGRycy9kb3du&#10;cmV2LnhtbFBLAQIUABQAAAAIAIdO4kAf0iwt/gEAAAUEAAAOAAAAAAAAAAEAIAAAACg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71ABED7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firstLine="180" w:firstLineChars="100"/>
                        <w:jc w:val="left"/>
                        <w:rPr>
                          <w:rFonts w:ascii="Arial" w:hAnsi="Arial" w:eastAsia="Arial" w:cs="Arial"/>
                          <w:b/>
                          <w:bCs/>
                          <w:iCs/>
                          <w:color w:val="005EA6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Arial" w:hAnsi="Arial" w:eastAsia="Arial" w:cs="Arial"/>
                          <w:b/>
                          <w:bCs/>
                          <w:iCs/>
                          <w:color w:val="005EA6"/>
                          <w:kern w:val="0"/>
                          <w:sz w:val="18"/>
                          <w:szCs w:val="18"/>
                        </w:rPr>
                        <w:t>Product features:</w:t>
                      </w:r>
                    </w:p>
                    <w:p w14:paraId="02053A0C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360" w:hanging="360" w:hangingChars="2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 Data control: Supports 802.3x full-duplex flow control and</w:t>
                      </w:r>
                    </w:p>
                    <w:p w14:paraId="136C8F87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358" w:leftChars="85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network storm suppression </w:t>
                      </w:r>
                    </w:p>
                    <w:p w14:paraId="48083F57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Redundant network: supports STP, RSTP, MSTP and ERPS </w:t>
                      </w:r>
                    </w:p>
                    <w:p w14:paraId="04DE83C6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Redundancy backup: supports the virtual route redundancy protocol VRRP </w:t>
                      </w:r>
                    </w:p>
                    <w:p w14:paraId="74EE9E75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Multicast management: Support IGMP Snooping V1, V2, and V3 </w:t>
                      </w:r>
                    </w:p>
                    <w:p w14:paraId="3FFF1BD9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</w:t>
                      </w:r>
                      <w:r>
                        <w:rPr>
                          <w:rFonts w:hint="eastAsia" w:ascii="Arial" w:hAnsi="Arial" w:eastAsia="宋体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VLAN: supports IEEE 802.1Q vlans to effectively isolate broadcast domains </w:t>
                      </w:r>
                    </w:p>
                    <w:p w14:paraId="1C8DBBCF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78" w:leftChars="85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Link aggregation: Support static/dynamic link aggregation, provide perfect bandwidth utilization </w:t>
                      </w:r>
                    </w:p>
                    <w:p w14:paraId="5494B0CE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●</w:t>
                      </w:r>
                      <w:r>
                        <w:rPr>
                          <w:rFonts w:hint="eastAsia" w:ascii="Arial" w:hAnsi="Arial" w:eastAsia="宋体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QOS: Support COS\DSCP, 4 queues, support WRR\SP scheduling mode </w:t>
                      </w:r>
                    </w:p>
                    <w:p w14:paraId="658DE4ED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Security management: Security management: supports ACL and 802.1x </w:t>
                      </w:r>
                    </w:p>
                    <w:p w14:paraId="04D39FFF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80" w:hanging="180" w:hangingChars="100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● Management: Supports WEB, CLI, and SNMP management </w:t>
                      </w:r>
                    </w:p>
                    <w:p w14:paraId="6A7C3EDD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ind w:left="178" w:leftChars="85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Monitoring and maintenance: Support port mirroring, interface status monitoring, log management</w:t>
                      </w:r>
                    </w:p>
                    <w:p w14:paraId="1DF4BC83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eastAsia="Arial" w:cs="Arial"/>
                          <w:iCs/>
                          <w:color w:val="595959" w:themeColor="text1" w:themeTint="A6"/>
                          <w:kern w:val="0"/>
                          <w:sz w:val="18"/>
                          <w:szCs w:val="18"/>
                          <w:lang w:eastAsia="en-U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 w14:paraId="6BA74FDF">
                      <w:pPr>
                        <w:tabs>
                          <w:tab w:val="left" w:pos="181"/>
                        </w:tabs>
                        <w:autoSpaceDE w:val="0"/>
                        <w:autoSpaceDN w:val="0"/>
                        <w:spacing w:before="128" w:line="360" w:lineRule="auto"/>
                        <w:jc w:val="left"/>
                        <w:rPr>
                          <w:rFonts w:ascii="Arial" w:hAnsi="Arial" w:cs="Arial"/>
                          <w:spacing w:val="-3"/>
                          <w:sz w:val="18"/>
                          <w:szCs w:val="28"/>
                        </w:rPr>
                      </w:pPr>
                    </w:p>
                    <w:p w14:paraId="7237E224"/>
                  </w:txbxContent>
                </v:textbox>
              </v:shape>
            </w:pict>
          </mc:Fallback>
        </mc:AlternateContent>
      </w:r>
      <w:r>
        <w:rPr>
          <w:b/>
          <w:bCs/>
          <w:iCs/>
          <w:color w:val="005EA6"/>
          <w:sz w:val="18"/>
          <w:szCs w:val="18"/>
        </w:rPr>
        <w:t>Rack mounted Aluminum Industrial Switch</w:t>
      </w:r>
    </w:p>
    <w:p w14:paraId="2B932FC1">
      <w:pPr>
        <w:pStyle w:val="3"/>
        <w:spacing w:before="5" w:line="417" w:lineRule="auto"/>
        <w:ind w:right="5132"/>
        <w:jc w:val="both"/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LBT44GST4-M-SFP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a high performance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4 Port gigabit + 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10G SFP+ L3 core switch. It provides Static routing and dynamic routing with advanced hardware processing capacity. The machine adopts modular design, which supports up to 4 Port 10G SFP+, and retains the expansion a</w:t>
      </w:r>
      <w:bookmarkStart w:id="1" w:name="_GoBack"/>
      <w:bookmarkEnd w:id="1"/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bility to further support 10GE when realizing gigabit convergence or access. It supports IPv4/IPv6 hardware double stack and line speed forwarding, so that customers can easily cope with the coming IPv6 era, which provides high capacity exchange capacity. 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LBT44GST4-M-SFP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has the operating temperature of -40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~ 8</w:t>
      </w:r>
      <w:r>
        <w:rPr>
          <w:rFonts w:hint="eastAsia" w:eastAsia="宋体"/>
          <w:iCs/>
          <w:color w:val="595959" w:themeColor="text1" w:themeTint="A6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5</w:t>
      </w:r>
      <w:r>
        <w:rPr>
          <w:rFonts w:hint="eastAsia" w:ascii="宋体" w:hAnsi="宋体" w:eastAsia="宋体" w:cs="宋体"/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℃</w:t>
      </w:r>
      <w:r>
        <w:rPr>
          <w:iCs/>
          <w:color w:val="595959" w:themeColor="text1" w:themeTint="A6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, has the super firmness to adapt to all kinds of harsh environment, can also be very convenient to install in the machine room cabinet. The rack-mounted characteristics and wide temperature operation make the switch a plug and play industrial-grade device, providing a reliable and convenient solution for users to network their Ethernet devices.</w:t>
      </w:r>
    </w:p>
    <w:p w14:paraId="0C598071">
      <w:pPr>
        <w:pStyle w:val="23"/>
        <w:ind w:firstLine="0" w:firstLineChars="0"/>
        <w:rPr>
          <w:rFonts w:ascii="Arial" w:hAnsi="Arial" w:cs="Arial"/>
          <w:sz w:val="20"/>
        </w:rPr>
      </w:pPr>
      <w:r>
        <w:rPr>
          <w:rFonts w:hint="eastAsia"/>
          <w:sz w:val="20"/>
        </w:rPr>
        <w:t xml:space="preserve"> </w:t>
      </w:r>
    </w:p>
    <w:p w14:paraId="41E0F4D1">
      <w:pPr>
        <w:ind w:right="293"/>
        <w:rPr>
          <w:rFonts w:ascii="Arial" w:hAnsi="Arial" w:cs="Arial"/>
          <w:sz w:val="20"/>
        </w:rPr>
      </w:pPr>
    </w:p>
    <w:p w14:paraId="25478905">
      <w:pPr>
        <w:spacing w:line="480" w:lineRule="auto"/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  <w:r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  <w:t>Strong processing ability</w:t>
      </w:r>
    </w:p>
    <w:p w14:paraId="4CDEBAF3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LBT44GST4-M-SFP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switch is based on the powerful and stable</w:t>
      </w:r>
    </w:p>
    <w:p w14:paraId="394A08D5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processing power of VCore-III MIPS-based CPU</w:t>
      </w:r>
    </w:p>
    <w:p w14:paraId="1BB8C949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Arial" w:hAnsi="Arial" w:eastAsia="宋体" w:cs="Arial"/>
          <w:iCs/>
          <w:color w:val="595959" w:themeColor="text1" w:themeTint="A6"/>
          <w:kern w:val="0"/>
          <w:sz w:val="18"/>
          <w:szCs w:val="18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LBT44GST4-M-SFP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provides up to</w:t>
      </w:r>
      <w:r>
        <w:rPr>
          <w:rFonts w:hint="eastAsia" w:ascii="Arial" w:hAnsi="Arial" w:eastAsia="Arial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hint="eastAsia"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1.2Tbps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of switching capacity</w:t>
      </w:r>
    </w:p>
    <w:p w14:paraId="49CB448E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port full speed filtering and forwarding </w:t>
      </w:r>
      <w:r>
        <w:rPr>
          <w:rFonts w:hint="eastAsia" w:ascii="Arial" w:hAnsi="Arial" w:eastAsia="Arial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406</w:t>
      </w: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Mpps</w:t>
      </w:r>
    </w:p>
    <w:p w14:paraId="05F70B9A">
      <w:pPr>
        <w:spacing w:line="480" w:lineRule="auto"/>
        <w:ind w:right="295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To ensure that the trunk network of large traffic data without blocking</w:t>
      </w:r>
    </w:p>
    <w:p w14:paraId="4B525942">
      <w:pPr>
        <w:pStyle w:val="23"/>
        <w:ind w:firstLine="0" w:firstLineChars="0"/>
        <w:rPr>
          <w:rFonts w:ascii="宋体" w:hAnsi="宋体" w:eastAsia="宋体" w:cs="宋体"/>
          <w:sz w:val="15"/>
          <w:szCs w:val="15"/>
        </w:rPr>
      </w:pPr>
      <w:r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Forwarding</w:t>
      </w:r>
      <w:r>
        <w:rPr>
          <w:rFonts w:hint="eastAsia" w:ascii="宋体" w:hAnsi="宋体" w:eastAsia="宋体" w:cs="宋体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.</w:t>
      </w:r>
    </w:p>
    <w:p w14:paraId="46260BEA">
      <w:pPr>
        <w:spacing w:line="480" w:lineRule="auto"/>
        <w:ind w:right="295"/>
        <w:rPr>
          <w:rFonts w:ascii="Arial" w:hAnsi="Arial" w:eastAsia="宋体" w:cs="Arial"/>
          <w:iCs/>
          <w:color w:val="595959" w:themeColor="text1" w:themeTint="A6"/>
          <w:kern w:val="0"/>
          <w:sz w:val="18"/>
          <w:szCs w:val="18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68AF1FD3">
      <w:pPr>
        <w:ind w:right="293"/>
        <w:rPr>
          <w:rFonts w:ascii="Arial" w:hAnsi="Arial" w:eastAsia="Arial" w:cs="Arial"/>
          <w:iCs/>
          <w:color w:val="595959" w:themeColor="text1" w:themeTint="A6"/>
          <w:kern w:val="0"/>
          <w:sz w:val="18"/>
          <w:szCs w:val="1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52C0A907">
      <w:pPr>
        <w:ind w:right="293"/>
        <w:rPr>
          <w:rFonts w:eastAsia="Arial"/>
          <w:b/>
          <w:bCs/>
          <w:iCs/>
          <w:color w:val="005EA6"/>
          <w:kern w:val="0"/>
          <w:sz w:val="18"/>
          <w:szCs w:val="18"/>
          <w:lang w:eastAsia="en-US"/>
        </w:rPr>
      </w:pPr>
    </w:p>
    <w:p w14:paraId="1B42FD44">
      <w:pPr>
        <w:ind w:right="293"/>
        <w:rPr>
          <w:rStyle w:val="20"/>
          <w:rFonts w:ascii="Arial" w:hAnsi="Arial" w:cs="Arial"/>
          <w:color w:val="333333"/>
          <w:sz w:val="20"/>
          <w:szCs w:val="20"/>
          <w:shd w:val="clear" w:color="auto" w:fill="F7F8FA"/>
        </w:rPr>
      </w:pPr>
    </w:p>
    <w:p w14:paraId="1E678D47">
      <w:pPr>
        <w:ind w:right="293"/>
        <w:rPr>
          <w:rFonts w:ascii="Arial" w:hAnsi="Arial" w:cs="Arial"/>
          <w:sz w:val="20"/>
        </w:rPr>
        <w:sectPr>
          <w:pgSz w:w="11910" w:h="16840"/>
          <w:pgMar w:top="840" w:right="711" w:bottom="0" w:left="800" w:header="720" w:footer="720" w:gutter="0"/>
          <w:cols w:space="720" w:num="1"/>
        </w:sectPr>
      </w:pPr>
    </w:p>
    <w:p w14:paraId="74A25123">
      <w:pPr>
        <w:pStyle w:val="2"/>
        <w:spacing w:before="95"/>
        <w:ind w:left="0"/>
        <w:jc w:val="both"/>
        <w:rPr>
          <w:rFonts w:ascii="Arial" w:hAnsi="Arial" w:cs="Arial"/>
          <w:i w:val="0"/>
          <w:iCs/>
          <w:color w:val="005EA6"/>
          <w:sz w:val="20"/>
          <w:szCs w:val="20"/>
        </w:rPr>
      </w:pP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3145155</wp:posOffset>
                </wp:positionH>
                <wp:positionV relativeFrom="paragraph">
                  <wp:posOffset>97155</wp:posOffset>
                </wp:positionV>
                <wp:extent cx="751205" cy="217170"/>
                <wp:effectExtent l="0" t="0" r="0" b="0"/>
                <wp:wrapNone/>
                <wp:docPr id="659" name="文本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751091" cy="21721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63F10D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713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65pt;margin-top:7.65pt;height:17.1pt;width:59.15pt;mso-position-horizontal-relative:page;rotation:65536f;z-index:251661312;mso-width-relative:page;mso-height-relative:page;" filled="f" stroked="f" coordsize="21600,21600" o:gfxdata="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AIz0LYAAAACQEAAA8AAAAAAAAAAQAgAAAAIgAAAGRycy9kb3ducmV2LnhtbFBLAQIUABQA&#10;AAAIAIdO4kDJerSRKQIAADgEAAAOAAAAAAAAAAEAIAAAACcBAABkcnMvZTJvRG9jLnhtbFBLBQYA&#10;AAAABgAGAFkBAADCBQAAAAA=&#10;" adj="10738">
                <v:fill on="f" focussize="0,0"/>
                <v:stroke on="f"/>
                <v:imagedata o:title=""/>
                <o:lock v:ext="edit" text="t" aspectratio="f"/>
                <v:textbox>
                  <w:txbxContent>
                    <w:p w14:paraId="0F63F10D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 w:val="0"/>
          <w:iCs/>
          <w:color w:val="005EA6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4175760</wp:posOffset>
                </wp:positionH>
                <wp:positionV relativeFrom="paragraph">
                  <wp:posOffset>-1211580</wp:posOffset>
                </wp:positionV>
                <wp:extent cx="200660" cy="68580"/>
                <wp:effectExtent l="0" t="0" r="0" b="0"/>
                <wp:wrapNone/>
                <wp:docPr id="658" name="文本框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200660" cy="68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E2AF86">
                            <w:pPr>
                              <w:jc w:val="center"/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kern w:val="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 w:eastAsia="Verdana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ROBOT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8pt;margin-top:-95.4pt;height:5.4pt;width:15.8pt;mso-position-horizontal-relative:page;rotation:65536f;z-index:251662336;mso-width-relative:page;mso-height-relative:page;" filled="f" stroked="f" coordsize="21600,21600" o:gfxdata="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kAvi9sAAAANAQAADwAAAAAAAAABACAAAAAiAAAAZHJzL2Rvd25yZXYueG1sUEsBAhQAFAAA&#10;AAgAh07iQFclu5wlAgAANwQAAA4AAAAAAAAAAQAgAAAAKgEAAGRycy9lMm9Eb2MueG1sUEsFBgAA&#10;AAAGAAYAWQEAAMEF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 w14:paraId="6AE2AF86">
                      <w:pPr>
                        <w:jc w:val="center"/>
                        <w:rPr>
                          <w:rFonts w:ascii="Verdana" w:hAnsi="Verdana" w:eastAsia="Verdana"/>
                          <w:b/>
                          <w:bCs/>
                          <w:color w:val="FFFFFF"/>
                          <w:kern w:val="0"/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 w:eastAsia="Verdana"/>
                          <w:b/>
                          <w:bCs/>
                          <w:color w:val="FFFFFF"/>
                          <w:sz w:val="10"/>
                          <w:szCs w:val="10"/>
                        </w:rPr>
                        <w:t>ROBOT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Specifications</w:t>
      </w:r>
      <w:r>
        <w:rPr>
          <w:rFonts w:hint="eastAsia" w:eastAsiaTheme="minorHAnsi"/>
          <w:b/>
          <w:bCs/>
          <w:i w:val="0"/>
          <w:i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:</w:t>
      </w:r>
    </w:p>
    <w:tbl>
      <w:tblPr>
        <w:tblStyle w:val="9"/>
        <w:tblW w:w="9498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268"/>
      </w:tblGrid>
      <w:tr w14:paraId="0BFD8A4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461B39F3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Model No.</w:t>
            </w:r>
          </w:p>
        </w:tc>
        <w:tc>
          <w:tcPr>
            <w:tcW w:w="6268" w:type="dxa"/>
          </w:tcPr>
          <w:p w14:paraId="2BFC22D9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LBT44GST4-M-SFP</w:t>
            </w:r>
          </w:p>
        </w:tc>
      </w:tr>
      <w:tr w14:paraId="3C53F6C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79834298">
            <w:pPr>
              <w:pStyle w:val="19"/>
              <w:spacing w:before="25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Interface</w:t>
            </w:r>
          </w:p>
        </w:tc>
        <w:tc>
          <w:tcPr>
            <w:tcW w:w="6268" w:type="dxa"/>
          </w:tcPr>
          <w:p w14:paraId="1EB867C7">
            <w:pPr>
              <w:pStyle w:val="19"/>
              <w:spacing w:before="21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</w:rPr>
              <w:t xml:space="preserve">-Port 10/100/1000Mbps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RJ45</w:t>
            </w:r>
          </w:p>
          <w:p w14:paraId="19044FC3">
            <w:pPr>
              <w:pStyle w:val="19"/>
              <w:spacing w:before="21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-Port 10G SFP+ (compatible with 1000M/2500M/10000M)</w:t>
            </w:r>
          </w:p>
          <w:p w14:paraId="0470FB80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-Port console</w:t>
            </w:r>
          </w:p>
        </w:tc>
      </w:tr>
      <w:tr w14:paraId="4BACBBE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5D4007D3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</w:p>
          <w:p w14:paraId="2670CAD5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 Specification</w:t>
            </w:r>
          </w:p>
        </w:tc>
        <w:tc>
          <w:tcPr>
            <w:tcW w:w="6268" w:type="dxa"/>
          </w:tcPr>
          <w:p w14:paraId="1C1B1597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Bandwidth(switch capacity): 1.2Tbps</w:t>
            </w:r>
          </w:p>
          <w:p w14:paraId="45FEC5B3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Packet Buffer Memory:</w:t>
            </w:r>
            <w:r>
              <w:rPr>
                <w:rFonts w:hint="eastAsia"/>
                <w:sz w:val="18"/>
                <w:szCs w:val="18"/>
                <w:lang w:eastAsia="zh-CN"/>
              </w:rPr>
              <w:t>32Mbit</w:t>
            </w:r>
          </w:p>
          <w:p w14:paraId="3AE04FA1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Packet Forwarding Rate: </w:t>
            </w:r>
            <w:r>
              <w:rPr>
                <w:rFonts w:hint="eastAsia"/>
                <w:sz w:val="18"/>
                <w:szCs w:val="18"/>
                <w:lang w:eastAsia="zh-CN"/>
              </w:rPr>
              <w:t>406</w:t>
            </w:r>
            <w:r>
              <w:rPr>
                <w:rFonts w:hint="eastAsia"/>
                <w:sz w:val="18"/>
                <w:szCs w:val="18"/>
              </w:rPr>
              <w:t>Mpps</w:t>
            </w:r>
          </w:p>
          <w:p w14:paraId="616551D5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MAC Address Table: 32K</w:t>
            </w:r>
          </w:p>
        </w:tc>
      </w:tr>
      <w:tr w14:paraId="68A4D76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801538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Installation</w:t>
            </w:r>
          </w:p>
        </w:tc>
        <w:tc>
          <w:tcPr>
            <w:tcW w:w="6268" w:type="dxa"/>
          </w:tcPr>
          <w:p w14:paraId="6186A504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Bracket mounted</w:t>
            </w:r>
          </w:p>
        </w:tc>
      </w:tr>
      <w:tr w14:paraId="5B95514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1285F41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Maximum Frame Size</w:t>
            </w:r>
          </w:p>
        </w:tc>
        <w:tc>
          <w:tcPr>
            <w:tcW w:w="6268" w:type="dxa"/>
          </w:tcPr>
          <w:p w14:paraId="45F11BBA">
            <w:pPr>
              <w:pStyle w:val="19"/>
              <w:spacing w:before="21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  <w:lang w:eastAsia="zh-CN"/>
              </w:rPr>
              <w:t>0240</w:t>
            </w:r>
            <w:r>
              <w:rPr>
                <w:rFonts w:hint="eastAsia"/>
                <w:sz w:val="18"/>
                <w:szCs w:val="18"/>
              </w:rPr>
              <w:t>bytes</w:t>
            </w:r>
          </w:p>
        </w:tc>
      </w:tr>
      <w:tr w14:paraId="7700096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D4B5AE4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Flow Control</w:t>
            </w:r>
          </w:p>
        </w:tc>
        <w:tc>
          <w:tcPr>
            <w:tcW w:w="6268" w:type="dxa"/>
          </w:tcPr>
          <w:p w14:paraId="6571A3BE">
            <w:pPr>
              <w:pStyle w:val="19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Back pressure for half duplex, IEEE 802.3x pause frame for full duplex</w:t>
            </w:r>
          </w:p>
        </w:tc>
      </w:tr>
      <w:tr w14:paraId="5F7A996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0B3B6AD0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Enclosure</w:t>
            </w:r>
          </w:p>
        </w:tc>
        <w:tc>
          <w:tcPr>
            <w:tcW w:w="6268" w:type="dxa"/>
          </w:tcPr>
          <w:p w14:paraId="49AB5A06">
            <w:pPr>
              <w:pStyle w:val="19"/>
              <w:spacing w:before="25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IP</w:t>
            </w:r>
            <w:r>
              <w:rPr>
                <w:rFonts w:hint="eastAsia"/>
                <w:sz w:val="18"/>
                <w:szCs w:val="18"/>
                <w:lang w:eastAsia="zh-CN"/>
              </w:rPr>
              <w:t>4</w:t>
            </w:r>
            <w:r>
              <w:rPr>
                <w:sz w:val="18"/>
                <w:szCs w:val="18"/>
                <w:lang w:eastAsia="zh-CN"/>
              </w:rPr>
              <w:t>0 Aluminum housing</w:t>
            </w:r>
          </w:p>
        </w:tc>
      </w:tr>
      <w:tr w14:paraId="2EC7C08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36B0A11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</w:p>
          <w:p w14:paraId="6288C2D1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 Indicator</w:t>
            </w:r>
          </w:p>
        </w:tc>
        <w:tc>
          <w:tcPr>
            <w:tcW w:w="6268" w:type="dxa"/>
          </w:tcPr>
          <w:p w14:paraId="2D55C6BC">
            <w:pPr>
              <w:pStyle w:val="19"/>
              <w:spacing w:before="38" w:line="360" w:lineRule="auto"/>
              <w:ind w:left="0" w:firstLine="90" w:firstLineChars="5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POWER: Red</w:t>
            </w:r>
          </w:p>
          <w:p w14:paraId="25B92B35">
            <w:pPr>
              <w:pStyle w:val="19"/>
              <w:spacing w:before="38" w:line="360" w:lineRule="auto"/>
              <w:ind w:left="0" w:firstLine="90" w:firstLineChars="5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RUN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Green</w:t>
            </w:r>
          </w:p>
          <w:p w14:paraId="2476F9D7">
            <w:pPr>
              <w:pStyle w:val="19"/>
              <w:spacing w:before="38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 xml:space="preserve">iber: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X1~X4</w:t>
            </w:r>
            <w:r>
              <w:rPr>
                <w:sz w:val="18"/>
                <w:szCs w:val="18"/>
              </w:rPr>
              <w:t>(Green)</w:t>
            </w:r>
          </w:p>
          <w:p w14:paraId="43A85343">
            <w:pPr>
              <w:pStyle w:val="19"/>
              <w:spacing w:before="38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Ethernet: 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Green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14:paraId="4E7E98A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18AC6214">
            <w:pPr>
              <w:pStyle w:val="19"/>
              <w:spacing w:before="25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Input</w:t>
            </w:r>
          </w:p>
        </w:tc>
        <w:tc>
          <w:tcPr>
            <w:tcW w:w="6268" w:type="dxa"/>
          </w:tcPr>
          <w:p w14:paraId="12DF9EDE">
            <w:pPr>
              <w:pStyle w:val="19"/>
              <w:spacing w:before="25" w:line="360" w:lineRule="auto"/>
              <w:ind w:left="0" w:firstLine="90" w:firstLineChars="50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DC 12V -52V</w:t>
            </w:r>
          </w:p>
        </w:tc>
      </w:tr>
      <w:tr w14:paraId="380DD88B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140A1ADF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Power Consumption</w:t>
            </w:r>
          </w:p>
        </w:tc>
        <w:tc>
          <w:tcPr>
            <w:tcW w:w="6268" w:type="dxa"/>
          </w:tcPr>
          <w:p w14:paraId="25F5AD88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&lt;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15</w:t>
            </w:r>
            <w:r>
              <w:rPr>
                <w:sz w:val="18"/>
                <w:szCs w:val="18"/>
              </w:rPr>
              <w:t>watts</w:t>
            </w:r>
          </w:p>
        </w:tc>
      </w:tr>
      <w:tr w14:paraId="455C4CA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0EFCF43C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 protection</w:t>
            </w:r>
          </w:p>
        </w:tc>
        <w:tc>
          <w:tcPr>
            <w:tcW w:w="6268" w:type="dxa"/>
          </w:tcPr>
          <w:p w14:paraId="67A74F9A">
            <w:pPr>
              <w:pStyle w:val="19"/>
              <w:spacing w:before="27" w:line="360" w:lineRule="auto"/>
              <w:ind w:left="0" w:firstLine="90" w:firstLineChars="50"/>
              <w:rPr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±4KV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14:paraId="0A7CEBA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3624772E">
            <w:pPr>
              <w:pStyle w:val="19"/>
              <w:spacing w:before="0" w:line="360" w:lineRule="auto"/>
              <w:ind w:left="0"/>
              <w:rPr>
                <w:sz w:val="18"/>
                <w:szCs w:val="18"/>
              </w:rPr>
            </w:pPr>
          </w:p>
          <w:p w14:paraId="196993B4">
            <w:pPr>
              <w:pStyle w:val="19"/>
              <w:spacing w:before="102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Protocols</w:t>
            </w:r>
          </w:p>
        </w:tc>
        <w:tc>
          <w:tcPr>
            <w:tcW w:w="6268" w:type="dxa"/>
          </w:tcPr>
          <w:p w14:paraId="13513386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802.3ad, link aggregation protocols</w:t>
            </w:r>
          </w:p>
          <w:p w14:paraId="73BD5B5C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 10BASE-T; </w:t>
            </w:r>
          </w:p>
          <w:p w14:paraId="6A1D0FAB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IEEE802.3i 10Base-T; </w:t>
            </w:r>
          </w:p>
          <w:p w14:paraId="01A7752C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IEEE802.3u;100Base-TX/FX; </w:t>
            </w:r>
          </w:p>
          <w:p w14:paraId="18BF845F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IEEE802.3ab 1000Base-T;  </w:t>
            </w:r>
          </w:p>
          <w:p w14:paraId="4C8AB3B2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IEEE802.3z 1000Base-X; </w:t>
            </w:r>
          </w:p>
          <w:p w14:paraId="4A8AE7F3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802.3ae,10G</w:t>
            </w:r>
          </w:p>
          <w:p w14:paraId="7D1B16A4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802.3x, Full duplex Ethernet data link Laminar flow control</w:t>
            </w:r>
          </w:p>
          <w:p w14:paraId="093F2E6E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IEEE 802.3az,EEE high efficient ethernet</w:t>
            </w:r>
          </w:p>
        </w:tc>
      </w:tr>
      <w:tr w14:paraId="3F66F88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2E8AB848">
            <w:pPr>
              <w:pStyle w:val="19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Network cables</w:t>
            </w:r>
          </w:p>
        </w:tc>
        <w:tc>
          <w:tcPr>
            <w:tcW w:w="6268" w:type="dxa"/>
          </w:tcPr>
          <w:p w14:paraId="2659C93F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10BASE-T: Cat3,4,5 UTP(≤100 meter)     </w:t>
            </w:r>
          </w:p>
          <w:p w14:paraId="567696E2">
            <w:pPr>
              <w:pStyle w:val="19"/>
              <w:spacing w:before="2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100BASE-TX: Cat5 or later UTP(≤10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meter)</w:t>
            </w:r>
          </w:p>
          <w:p w14:paraId="5FCC2730">
            <w:pPr>
              <w:pStyle w:val="19"/>
              <w:spacing w:before="21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>1000BASE-TX: Cat6 or later UTP(≤100 meter)</w:t>
            </w:r>
          </w:p>
        </w:tc>
      </w:tr>
      <w:tr w14:paraId="250235E3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230" w:type="dxa"/>
            <w:shd w:val="clear" w:color="auto" w:fill="E6E6E6"/>
          </w:tcPr>
          <w:p w14:paraId="1BA8A239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  <w:p w14:paraId="159118F5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  <w:p w14:paraId="7EB16A34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 Standard</w:t>
            </w:r>
          </w:p>
          <w:p w14:paraId="683488FA">
            <w:pPr>
              <w:pStyle w:val="19"/>
              <w:spacing w:before="143" w:line="360" w:lineRule="auto"/>
              <w:ind w:left="0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(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EMC 4)</w:t>
            </w:r>
          </w:p>
        </w:tc>
        <w:tc>
          <w:tcPr>
            <w:tcW w:w="6268" w:type="dxa"/>
          </w:tcPr>
          <w:p w14:paraId="0ECDE238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FCC CFR47 Part 15,EN55022/CISPR22, Class A </w:t>
            </w:r>
          </w:p>
          <w:p w14:paraId="0A663C35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IEC61000-4-2 (ESD): ±8kV (contact), ±1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kV (air)</w:t>
            </w:r>
          </w:p>
          <w:p w14:paraId="710BF2E1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IEC61000-4-3 (RS): 10V/m (80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~1000</w:t>
            </w:r>
            <w:r>
              <w:rPr>
                <w:sz w:val="18"/>
                <w:szCs w:val="18"/>
                <w:lang w:eastAsia="zh-CN"/>
              </w:rPr>
              <w:t>MHz)</w:t>
            </w:r>
          </w:p>
          <w:p w14:paraId="747291EF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IEC61000-4-4 (EFT): Power Port: ±4kV; Data Port: ±2kV</w:t>
            </w:r>
          </w:p>
          <w:p w14:paraId="2F6B2871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IEC61000-4-5 (Surge): Power Port: ±2kV/DM, ±4kV/CM; Data Port: ±2kV</w:t>
            </w:r>
          </w:p>
          <w:p w14:paraId="1D796505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IEC61000-4-6 (CS): 3V (10kHz-150kHz); 10V (150kHz-80MHz)</w:t>
            </w:r>
          </w:p>
          <w:p w14:paraId="3A258D4A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IEC61000-4-16 (Common mode conduction): 30V (cont.), 300V (1s)</w:t>
            </w:r>
          </w:p>
        </w:tc>
      </w:tr>
      <w:tr w14:paraId="26C02689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0223709E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Certification</w:t>
            </w:r>
          </w:p>
        </w:tc>
        <w:tc>
          <w:tcPr>
            <w:tcW w:w="6268" w:type="dxa"/>
          </w:tcPr>
          <w:p w14:paraId="01DDFA87">
            <w:pPr>
              <w:pStyle w:val="19"/>
              <w:spacing w:before="25" w:line="360" w:lineRule="auto"/>
            </w:pPr>
            <w:r>
              <w:rPr>
                <w:sz w:val="18"/>
                <w:szCs w:val="18"/>
                <w:lang w:eastAsia="zh-CN"/>
              </w:rPr>
              <w:t>CE FCC Rohs compliance</w:t>
            </w:r>
          </w:p>
        </w:tc>
      </w:tr>
      <w:tr w14:paraId="23942AA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38AB4E03">
            <w:pPr>
              <w:pStyle w:val="19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M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TBF</w:t>
            </w:r>
          </w:p>
        </w:tc>
        <w:tc>
          <w:tcPr>
            <w:tcW w:w="6268" w:type="dxa"/>
          </w:tcPr>
          <w:p w14:paraId="4DC0E397">
            <w:pPr>
              <w:pStyle w:val="19"/>
              <w:spacing w:before="25" w:line="360" w:lineRule="auto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cs="Calibri"/>
                <w:szCs w:val="21"/>
              </w:rPr>
              <w:t>&gt;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3</w:t>
            </w:r>
            <w:r>
              <w:rPr>
                <w:rFonts w:eastAsiaTheme="minorEastAsia"/>
                <w:sz w:val="18"/>
                <w:szCs w:val="18"/>
                <w:lang w:eastAsia="zh-CN"/>
              </w:rPr>
              <w:t>00,000hours</w:t>
            </w:r>
          </w:p>
        </w:tc>
      </w:tr>
      <w:tr w14:paraId="53F4F6C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2628FC86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Dimensions (W x D x H)</w:t>
            </w:r>
          </w:p>
        </w:tc>
        <w:tc>
          <w:tcPr>
            <w:tcW w:w="6268" w:type="dxa"/>
          </w:tcPr>
          <w:p w14:paraId="27C61F6A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143 x 125 x48mm</w:t>
            </w:r>
          </w:p>
        </w:tc>
      </w:tr>
      <w:tr w14:paraId="6FF1A0E0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230" w:type="dxa"/>
            <w:shd w:val="clear" w:color="auto" w:fill="E6E6E6"/>
          </w:tcPr>
          <w:p w14:paraId="736A56B8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Weight</w:t>
            </w:r>
          </w:p>
        </w:tc>
        <w:tc>
          <w:tcPr>
            <w:tcW w:w="6268" w:type="dxa"/>
          </w:tcPr>
          <w:p w14:paraId="09B355FC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Product Weight: </w:t>
            </w:r>
            <w:r>
              <w:rPr>
                <w:rFonts w:hint="eastAsia"/>
                <w:sz w:val="18"/>
                <w:szCs w:val="18"/>
                <w:lang w:eastAsia="zh-CN"/>
              </w:rPr>
              <w:t>0.7</w:t>
            </w:r>
            <w:r>
              <w:rPr>
                <w:sz w:val="18"/>
                <w:szCs w:val="18"/>
                <w:lang w:eastAsia="zh-CN"/>
              </w:rPr>
              <w:t>KGS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 xml:space="preserve">   </w:t>
            </w:r>
          </w:p>
          <w:p w14:paraId="08CB9226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Packing Weight: </w:t>
            </w:r>
            <w:r>
              <w:rPr>
                <w:rFonts w:hint="eastAsia"/>
                <w:sz w:val="18"/>
                <w:szCs w:val="18"/>
                <w:lang w:eastAsia="zh-CN"/>
              </w:rPr>
              <w:t>0.8</w:t>
            </w:r>
            <w:r>
              <w:rPr>
                <w:sz w:val="18"/>
                <w:szCs w:val="18"/>
                <w:lang w:eastAsia="zh-CN"/>
              </w:rPr>
              <w:t>KGS</w:t>
            </w:r>
          </w:p>
        </w:tc>
      </w:tr>
      <w:tr w14:paraId="5D9BAAD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3CB35AA5">
            <w:pPr>
              <w:pStyle w:val="19"/>
              <w:spacing w:before="143" w:line="36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Environment</w:t>
            </w:r>
          </w:p>
          <w:p w14:paraId="2B2271A2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</w:p>
        </w:tc>
        <w:tc>
          <w:tcPr>
            <w:tcW w:w="6268" w:type="dxa"/>
          </w:tcPr>
          <w:p w14:paraId="40D58566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Working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</w:t>
            </w:r>
            <w:r>
              <w:rPr>
                <w:rFonts w:hint="eastAsia"/>
                <w:sz w:val="18"/>
                <w:szCs w:val="18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  <w:r>
              <w:rPr>
                <w:sz w:val="18"/>
                <w:szCs w:val="18"/>
                <w:lang w:eastAsia="zh-CN"/>
              </w:rPr>
              <w:t xml:space="preserve"> ;  </w:t>
            </w:r>
          </w:p>
          <w:p w14:paraId="6635A3A7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Storage temperature: -40</w:t>
            </w:r>
            <w:r>
              <w:rPr>
                <w:rFonts w:eastAsia="宋体"/>
                <w:sz w:val="18"/>
                <w:szCs w:val="18"/>
                <w:lang w:eastAsia="zh-CN"/>
              </w:rPr>
              <w:t>～</w:t>
            </w:r>
            <w:r>
              <w:rPr>
                <w:sz w:val="18"/>
                <w:szCs w:val="18"/>
                <w:lang w:eastAsia="zh-CN"/>
              </w:rPr>
              <w:t>8</w:t>
            </w:r>
            <w:r>
              <w:rPr>
                <w:rFonts w:hint="eastAsia"/>
                <w:sz w:val="18"/>
                <w:szCs w:val="18"/>
                <w:lang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℃</w:t>
            </w:r>
          </w:p>
          <w:p w14:paraId="7C46C0ED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Relative Humidity: 5%~95 %( no condensation)</w:t>
            </w:r>
          </w:p>
        </w:tc>
      </w:tr>
      <w:tr w14:paraId="511B4318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230" w:type="dxa"/>
            <w:shd w:val="clear" w:color="auto" w:fill="E6E6E6"/>
          </w:tcPr>
          <w:p w14:paraId="73CFFDA3">
            <w:pPr>
              <w:pStyle w:val="19"/>
              <w:spacing w:before="143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Warranty </w:t>
            </w:r>
          </w:p>
        </w:tc>
        <w:tc>
          <w:tcPr>
            <w:tcW w:w="6268" w:type="dxa"/>
          </w:tcPr>
          <w:p w14:paraId="1461BE79">
            <w:pPr>
              <w:pStyle w:val="19"/>
              <w:spacing w:before="1" w:line="360" w:lineRule="auto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 xml:space="preserve">1-year replacement with new item; 3-years for main parts.  </w:t>
            </w:r>
          </w:p>
        </w:tc>
      </w:tr>
    </w:tbl>
    <w:p w14:paraId="64CA5F2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0E2D799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Management features:</w:t>
      </w:r>
    </w:p>
    <w:tbl>
      <w:tblPr>
        <w:tblStyle w:val="9"/>
        <w:tblW w:w="9639" w:type="dxa"/>
        <w:tblInd w:w="-5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0"/>
        <w:gridCol w:w="6409"/>
      </w:tblGrid>
      <w:tr w14:paraId="407906DE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0D61565B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0346E162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Interface</w:t>
            </w:r>
          </w:p>
        </w:tc>
        <w:tc>
          <w:tcPr>
            <w:tcW w:w="6409" w:type="dxa"/>
          </w:tcPr>
          <w:p w14:paraId="74EE0DA7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IEEE802.3X (Full-duplex), Port temperature protection setting</w:t>
            </w:r>
          </w:p>
          <w:p w14:paraId="32259B0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Port green Ethernet Energy-saving setting Broadcast storm control based </w:t>
            </w:r>
          </w:p>
          <w:p w14:paraId="5999F872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 port speed. The speed limit of the message flow in the access port.</w:t>
            </w:r>
          </w:p>
          <w:p w14:paraId="70D42234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minimum particle size is 64Kbps.</w:t>
            </w:r>
          </w:p>
        </w:tc>
      </w:tr>
      <w:tr w14:paraId="31FA058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7A72CBAC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Layer 3 Features</w:t>
            </w:r>
          </w:p>
        </w:tc>
        <w:tc>
          <w:tcPr>
            <w:tcW w:w="6409" w:type="dxa"/>
          </w:tcPr>
          <w:p w14:paraId="19B42979">
            <w:pPr>
              <w:pStyle w:val="19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</w:rPr>
              <w:t xml:space="preserve"> network management,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IPV4/IPV6 management L3 soft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routing forwarding,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</w:p>
          <w:p w14:paraId="1C0D53E6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</w:t>
            </w:r>
            <w:r>
              <w:rPr>
                <w:sz w:val="18"/>
                <w:szCs w:val="18"/>
              </w:rPr>
              <w:t>tatic route, Default route @ 128 pcs,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APR@1024pcs</w:t>
            </w:r>
          </w:p>
        </w:tc>
      </w:tr>
      <w:tr w14:paraId="3A45DC1A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230" w:type="dxa"/>
            <w:shd w:val="clear" w:color="auto" w:fill="E6E6E6"/>
          </w:tcPr>
          <w:p w14:paraId="564FED95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5605CB38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6C1219C4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VLAN</w:t>
            </w:r>
          </w:p>
        </w:tc>
        <w:tc>
          <w:tcPr>
            <w:tcW w:w="6409" w:type="dxa"/>
          </w:tcPr>
          <w:p w14:paraId="6D2AE79C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4K VLAN based on port, IEEE802.1q </w:t>
            </w:r>
          </w:p>
          <w:p w14:paraId="4304B7DF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VLAN based on the protocol</w:t>
            </w:r>
          </w:p>
          <w:p w14:paraId="3A01A9B1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VLAN based on MAC</w:t>
            </w:r>
          </w:p>
          <w:p w14:paraId="3A7A82A7">
            <w:pPr>
              <w:pStyle w:val="19"/>
              <w:spacing w:before="25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VLAN based on IP</w:t>
            </w:r>
          </w:p>
          <w:p w14:paraId="3260C363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Voice VLAN, QinQ configuration</w:t>
            </w:r>
          </w:p>
          <w:p w14:paraId="37CC5E1A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 configuration of Access, Trunk, Hybrid</w:t>
            </w:r>
          </w:p>
        </w:tc>
      </w:tr>
      <w:tr w14:paraId="09CF25AD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230" w:type="dxa"/>
            <w:shd w:val="clear" w:color="auto" w:fill="E6E6E6"/>
          </w:tcPr>
          <w:p w14:paraId="33354E5A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Port Aggregation</w:t>
            </w:r>
          </w:p>
        </w:tc>
        <w:tc>
          <w:tcPr>
            <w:tcW w:w="6409" w:type="dxa"/>
          </w:tcPr>
          <w:p w14:paraId="32183A6A">
            <w:pPr>
              <w:pStyle w:val="19"/>
              <w:spacing w:before="11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LACP, Static aggregation</w:t>
            </w:r>
          </w:p>
          <w:p w14:paraId="754C2051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14</w:t>
            </w:r>
            <w:r>
              <w:rPr>
                <w:sz w:val="18"/>
                <w:szCs w:val="18"/>
              </w:rPr>
              <w:t xml:space="preserve"> aggregation groups and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16</w:t>
            </w:r>
            <w:r>
              <w:rPr>
                <w:sz w:val="18"/>
                <w:szCs w:val="18"/>
              </w:rPr>
              <w:t xml:space="preserve"> ports per group.</w:t>
            </w:r>
          </w:p>
        </w:tc>
      </w:tr>
      <w:tr w14:paraId="7E833782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2F90EA6C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Spanning Tree</w:t>
            </w:r>
          </w:p>
        </w:tc>
        <w:tc>
          <w:tcPr>
            <w:tcW w:w="6409" w:type="dxa"/>
          </w:tcPr>
          <w:p w14:paraId="73E9A966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STP (IEEE802.1d),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RSTP (IEEE802.1w),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MSTP (IEEE802.1s)</w:t>
            </w:r>
          </w:p>
        </w:tc>
      </w:tr>
      <w:tr w14:paraId="1F4C17F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5764F4C8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Industrial Ring</w:t>
            </w:r>
          </w:p>
          <w:p w14:paraId="59227451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Network Protocol</w:t>
            </w:r>
          </w:p>
        </w:tc>
        <w:tc>
          <w:tcPr>
            <w:tcW w:w="6409" w:type="dxa"/>
          </w:tcPr>
          <w:p w14:paraId="6A7A83F4">
            <w:pPr>
              <w:pStyle w:val="19"/>
              <w:spacing w:before="11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G.8032 (ERPS),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Recovery time less than 20ms</w:t>
            </w:r>
          </w:p>
          <w:p w14:paraId="5FA6AC5D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 Ring at most, Max 250 devices per ring. Multicast</w:t>
            </w:r>
          </w:p>
        </w:tc>
      </w:tr>
      <w:tr w14:paraId="27146AF1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0120A49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Multicast</w:t>
            </w:r>
          </w:p>
        </w:tc>
        <w:tc>
          <w:tcPr>
            <w:tcW w:w="6409" w:type="dxa"/>
          </w:tcPr>
          <w:p w14:paraId="17BEE0F4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MLD Snooping v1/v2,Multicast VLAN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Registration (MVR)</w:t>
            </w:r>
          </w:p>
          <w:p w14:paraId="1A2A8295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IGMP Snooping v1/v2, Max 1024 multicast groups, Fast log out</w:t>
            </w:r>
          </w:p>
        </w:tc>
      </w:tr>
      <w:tr w14:paraId="040CAEA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230" w:type="dxa"/>
            <w:shd w:val="clear" w:color="auto" w:fill="E6E6E6"/>
          </w:tcPr>
          <w:p w14:paraId="175D2DEE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Port Mirroring</w:t>
            </w:r>
          </w:p>
        </w:tc>
        <w:tc>
          <w:tcPr>
            <w:tcW w:w="6409" w:type="dxa"/>
          </w:tcPr>
          <w:p w14:paraId="54E32A54">
            <w:pPr>
              <w:pStyle w:val="19"/>
              <w:spacing w:before="25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Bidirectional data mirroring based on port</w:t>
            </w:r>
          </w:p>
        </w:tc>
      </w:tr>
      <w:tr w14:paraId="2385543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3230" w:type="dxa"/>
            <w:shd w:val="clear" w:color="auto" w:fill="E6E6E6"/>
          </w:tcPr>
          <w:p w14:paraId="544F5FE2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29D117DE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QoS</w:t>
            </w:r>
          </w:p>
        </w:tc>
        <w:tc>
          <w:tcPr>
            <w:tcW w:w="6409" w:type="dxa"/>
          </w:tcPr>
          <w:p w14:paraId="69D6A75C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SP（Strict Priorty）</w:t>
            </w:r>
          </w:p>
          <w:p w14:paraId="1EF8F127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WFQ (Weighted Fair Queuing)</w:t>
            </w:r>
          </w:p>
          <w:p w14:paraId="20999A0D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WRR (Weighted Round Robin)</w:t>
            </w:r>
          </w:p>
          <w:p w14:paraId="61A62EEB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Random Early Detect (RED)</w:t>
            </w:r>
          </w:p>
          <w:p w14:paraId="52CB87CC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WeightedRandomEarlyDetection (WRED)</w:t>
            </w:r>
          </w:p>
          <w:p w14:paraId="38114E78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Head Of Line</w:t>
            </w:r>
          </w:p>
          <w:p w14:paraId="1F0C9F11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Best-Effort Service</w:t>
            </w:r>
          </w:p>
          <w:p w14:paraId="3DDFDB1D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First come first served</w:t>
            </w:r>
          </w:p>
          <w:p w14:paraId="6A4BB972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802.1p</w:t>
            </w:r>
          </w:p>
          <w:p w14:paraId="6EC3CAED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Cos/Tos，QOS</w:t>
            </w:r>
          </w:p>
          <w:p w14:paraId="0317ABC4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Differentiated Service</w:t>
            </w:r>
          </w:p>
        </w:tc>
      </w:tr>
      <w:tr w14:paraId="4EA23807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7F687C95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33D0FB4B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ACL</w:t>
            </w:r>
          </w:p>
        </w:tc>
        <w:tc>
          <w:tcPr>
            <w:tcW w:w="6409" w:type="dxa"/>
          </w:tcPr>
          <w:p w14:paraId="072CD42A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Port-based Issuing ACL,ACL based on port and VLAN</w:t>
            </w:r>
          </w:p>
          <w:p w14:paraId="50171937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L2 to L4 packet filtering, matching first 80bytes message. </w:t>
            </w:r>
          </w:p>
          <w:p w14:paraId="7D19E226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 ACL based on MAC, Destination MAC address, IP Source, </w:t>
            </w:r>
          </w:p>
          <w:p w14:paraId="69FDAFCE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Destination IP, IP Protocol Type, TCP/UDP Port, TCP/UDP Port Range, </w:t>
            </w:r>
          </w:p>
          <w:p w14:paraId="19527234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 VLAN, etc.</w:t>
            </w:r>
          </w:p>
        </w:tc>
      </w:tr>
      <w:tr w14:paraId="77D6FAB5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230" w:type="dxa"/>
            <w:shd w:val="clear" w:color="auto" w:fill="E6E6E6"/>
          </w:tcPr>
          <w:p w14:paraId="633AD174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</w:p>
          <w:p w14:paraId="69958B12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</w:p>
          <w:p w14:paraId="6A594983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Security</w:t>
            </w:r>
          </w:p>
        </w:tc>
        <w:tc>
          <w:tcPr>
            <w:tcW w:w="6409" w:type="dxa"/>
          </w:tcPr>
          <w:p w14:paraId="27DD3D3B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Support IP ACL，MAC ACL，Vlan ACL,support ACL based on L3 L4</w:t>
            </w:r>
          </w:p>
          <w:p w14:paraId="16315A8A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IP+MAC Port binding</w:t>
            </w:r>
          </w:p>
          <w:p w14:paraId="55193861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Support </w:t>
            </w:r>
            <w:r>
              <w:rPr>
                <w:rFonts w:hint="eastAsia"/>
                <w:sz w:val="18"/>
                <w:szCs w:val="18"/>
              </w:rPr>
              <w:t>IP Source Guard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RP Detection</w:t>
            </w:r>
          </w:p>
          <w:p w14:paraId="4C93A385">
            <w:pPr>
              <w:pStyle w:val="19"/>
              <w:spacing w:before="112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 xml:space="preserve">Support </w:t>
            </w:r>
            <w:r>
              <w:rPr>
                <w:rFonts w:hint="eastAsia"/>
                <w:sz w:val="18"/>
                <w:szCs w:val="18"/>
              </w:rPr>
              <w:t>IEEE 802.1x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port verification, support </w:t>
            </w:r>
            <w:r>
              <w:rPr>
                <w:rFonts w:hint="eastAsia"/>
                <w:sz w:val="18"/>
                <w:szCs w:val="18"/>
              </w:rPr>
              <w:t>Radius</w:t>
            </w:r>
          </w:p>
        </w:tc>
      </w:tr>
      <w:tr w14:paraId="1A9E829F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3230" w:type="dxa"/>
            <w:shd w:val="clear" w:color="auto" w:fill="E6E6E6"/>
          </w:tcPr>
          <w:p w14:paraId="27E9971F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DHCP</w:t>
            </w:r>
          </w:p>
        </w:tc>
        <w:tc>
          <w:tcPr>
            <w:tcW w:w="6409" w:type="dxa"/>
          </w:tcPr>
          <w:p w14:paraId="2CAE6C5C">
            <w:pPr>
              <w:pStyle w:val="19"/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DHCP Client,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Snooping,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Server,</w:t>
            </w:r>
            <w:r>
              <w:rPr>
                <w:rFonts w:eastAsia="宋体"/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DHCP Relay</w:t>
            </w:r>
          </w:p>
        </w:tc>
      </w:tr>
      <w:tr w14:paraId="74EF4406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3230" w:type="dxa"/>
            <w:shd w:val="clear" w:color="auto" w:fill="E6E6E6"/>
          </w:tcPr>
          <w:p w14:paraId="04904200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17F281E2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IP routing</w:t>
            </w:r>
          </w:p>
        </w:tc>
        <w:tc>
          <w:tcPr>
            <w:tcW w:w="6409" w:type="dxa"/>
          </w:tcPr>
          <w:p w14:paraId="2B17A257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port-based input/output bandwidth management. </w:t>
            </w:r>
          </w:p>
          <w:p w14:paraId="6336E060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Supports static routes. 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IPV6</w:t>
            </w:r>
          </w:p>
          <w:p w14:paraId="7C445163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the virtual route redundancy protocol VRRP. </w:t>
            </w:r>
          </w:p>
          <w:p w14:paraId="64965BA1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Dynamic routes such as RIP, RIPng, OSPF, and OSPFv3 are supported.</w:t>
            </w:r>
          </w:p>
        </w:tc>
      </w:tr>
      <w:tr w14:paraId="7A7802D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3230" w:type="dxa"/>
            <w:shd w:val="clear" w:color="auto" w:fill="E6E6E6"/>
          </w:tcPr>
          <w:p w14:paraId="41ABCA8C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</w:p>
          <w:p w14:paraId="49591BA4">
            <w:pPr>
              <w:pStyle w:val="19"/>
              <w:spacing w:before="24" w:line="360" w:lineRule="auto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/>
                <w:sz w:val="18"/>
                <w:szCs w:val="18"/>
                <w:lang w:eastAsia="zh-CN"/>
              </w:rPr>
              <w:t>System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 xml:space="preserve"> maintenance</w:t>
            </w:r>
          </w:p>
        </w:tc>
        <w:tc>
          <w:tcPr>
            <w:tcW w:w="6409" w:type="dxa"/>
          </w:tcPr>
          <w:p w14:paraId="1FFF4B70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configuration file uploading and downloading. Upload the upgrade package. </w:t>
            </w:r>
          </w:p>
          <w:p w14:paraId="0951B671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Supports factory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restore on</w:t>
            </w:r>
            <w:r>
              <w:rPr>
                <w:sz w:val="18"/>
                <w:szCs w:val="18"/>
              </w:rPr>
              <w:t xml:space="preserve"> WEB</w:t>
            </w:r>
            <w:r>
              <w:rPr>
                <w:rFonts w:hint="eastAsia"/>
                <w:sz w:val="18"/>
                <w:szCs w:val="18"/>
                <w:lang w:eastAsia="zh-CN"/>
              </w:rPr>
              <w:t>,</w:t>
            </w:r>
            <w:r>
              <w:rPr>
                <w:sz w:val="18"/>
                <w:szCs w:val="18"/>
              </w:rPr>
              <w:t xml:space="preserve"> Supports the system log function. </w:t>
            </w:r>
          </w:p>
          <w:p w14:paraId="4894AF08">
            <w:pPr>
              <w:pStyle w:val="19"/>
              <w:spacing w:before="112"/>
              <w:jc w:val="both"/>
              <w:rPr>
                <w:rFonts w:eastAsiaTheme="minor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Support  Ping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 xml:space="preserve"> 、tracert、cable detection </w:t>
            </w:r>
            <w:r>
              <w:rPr>
                <w:sz w:val="18"/>
                <w:szCs w:val="18"/>
              </w:rPr>
              <w:t>and other diagnostic functions</w:t>
            </w:r>
            <w:r>
              <w:rPr>
                <w:rFonts w:hint="eastAsia" w:eastAsiaTheme="minorEastAsia"/>
                <w:sz w:val="18"/>
                <w:szCs w:val="18"/>
                <w:lang w:eastAsia="zh-CN"/>
              </w:rPr>
              <w:t>.</w:t>
            </w:r>
          </w:p>
          <w:p w14:paraId="46C8B5DC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WEB management (HTTP and HTTPS). </w:t>
            </w:r>
          </w:p>
          <w:p w14:paraId="5439BFC3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Supports CLI management. Supports Telnet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remote management</w:t>
            </w:r>
            <w:r>
              <w:rPr>
                <w:sz w:val="18"/>
                <w:szCs w:val="18"/>
              </w:rPr>
              <w:t xml:space="preserve">. </w:t>
            </w:r>
          </w:p>
          <w:p w14:paraId="301AA408">
            <w:pPr>
              <w:pStyle w:val="19"/>
              <w:spacing w:before="1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Supports SSH 2.0. Supports SNMP network management. </w:t>
            </w:r>
          </w:p>
          <w:p w14:paraId="4EC5EAFE">
            <w:pPr>
              <w:pStyle w:val="19"/>
              <w:spacing w:before="112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Support RMON; Supports NTP clients.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Support </w:t>
            </w:r>
            <w:r>
              <w:rPr>
                <w:rFonts w:hint="eastAsia"/>
                <w:sz w:val="18"/>
                <w:szCs w:val="18"/>
              </w:rPr>
              <w:t>PTP（1588v2）</w:t>
            </w:r>
          </w:p>
        </w:tc>
      </w:tr>
    </w:tbl>
    <w:p w14:paraId="1208BC47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990848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39639D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15D60AE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3F5DAE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69B11EBE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DF0A22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46D4D45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C289D48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256F4A3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1F8F2EB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294CBD04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16158043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56053BE5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0A39B00">
      <w:pPr>
        <w:pStyle w:val="3"/>
        <w:jc w:val="both"/>
        <w:rPr>
          <w:color w:val="F7AC00"/>
          <w:sz w:val="30"/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Dimensions</w:t>
      </w:r>
    </w:p>
    <w:p w14:paraId="39A61F08">
      <w:pPr>
        <w:pStyle w:val="3"/>
        <w:jc w:val="center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drawing>
          <wp:inline distT="0" distB="0" distL="0" distR="0">
            <wp:extent cx="3884295" cy="3112770"/>
            <wp:effectExtent l="0" t="0" r="1905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4295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82BAD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3B778DC5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06EBE2CC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</w:p>
    <w:p w14:paraId="4D2BFC08">
      <w:pPr>
        <w:pStyle w:val="3"/>
        <w:jc w:val="both"/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>
        <w:rPr>
          <w:rFonts w:eastAsiaTheme="minorHAnsi"/>
          <w:b/>
          <w:bCs/>
          <w:color w:val="F7AC00"/>
          <w:kern w:val="2"/>
          <w:sz w:val="28"/>
          <w:szCs w:val="28"/>
          <w:lang w:eastAsia="zh-CN"/>
          <w14:textFill>
            <w14:gradFill>
              <w14:gsLst>
                <w14:gs w14:pos="0">
                  <w14:srgbClr w14:val="F7AC00">
                    <w14:shade w14:val="30000"/>
                    <w14:satMod w14:val="115000"/>
                  </w14:srgbClr>
                </w14:gs>
                <w14:gs w14:pos="50000">
                  <w14:srgbClr w14:val="F7AC00">
                    <w14:shade w14:val="67500"/>
                    <w14:satMod w14:val="115000"/>
                  </w14:srgbClr>
                </w14:gs>
                <w14:gs w14:pos="100000">
                  <w14:srgbClr w14:val="F7AC00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Ordering Information</w:t>
      </w:r>
    </w:p>
    <w:tbl>
      <w:tblPr>
        <w:tblStyle w:val="9"/>
        <w:tblW w:w="9244" w:type="dxa"/>
        <w:tblInd w:w="107" w:type="dxa"/>
        <w:tblBorders>
          <w:top w:val="single" w:color="A5A5A5" w:themeColor="background1" w:themeShade="A6" w:sz="4" w:space="0"/>
          <w:left w:val="single" w:color="A5A5A5" w:themeColor="background1" w:themeShade="A6" w:sz="4" w:space="0"/>
          <w:bottom w:val="single" w:color="A5A5A5" w:themeColor="background1" w:themeShade="A6" w:sz="4" w:space="0"/>
          <w:right w:val="single" w:color="A5A5A5" w:themeColor="background1" w:themeShade="A6" w:sz="4" w:space="0"/>
          <w:insideH w:val="single" w:color="A5A5A5" w:themeColor="background1" w:themeShade="A6" w:sz="4" w:space="0"/>
          <w:insideV w:val="single" w:color="A5A5A5" w:themeColor="background1" w:themeShade="A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3"/>
        <w:gridCol w:w="7371"/>
      </w:tblGrid>
      <w:tr w14:paraId="66C296CC">
        <w:tblPrEx>
          <w:tblBorders>
            <w:top w:val="single" w:color="A5A5A5" w:themeColor="background1" w:themeShade="A6" w:sz="4" w:space="0"/>
            <w:left w:val="single" w:color="A5A5A5" w:themeColor="background1" w:themeShade="A6" w:sz="4" w:space="0"/>
            <w:bottom w:val="single" w:color="A5A5A5" w:themeColor="background1" w:themeShade="A6" w:sz="4" w:space="0"/>
            <w:right w:val="single" w:color="A5A5A5" w:themeColor="background1" w:themeShade="A6" w:sz="4" w:space="0"/>
            <w:insideH w:val="single" w:color="A5A5A5" w:themeColor="background1" w:themeShade="A6" w:sz="4" w:space="0"/>
            <w:insideV w:val="single" w:color="A5A5A5" w:themeColor="background1" w:themeShade="A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873" w:type="dxa"/>
            <w:shd w:val="clear" w:color="auto" w:fill="E6E6E6"/>
            <w:vAlign w:val="center"/>
          </w:tcPr>
          <w:p w14:paraId="295832C7">
            <w:pPr>
              <w:pStyle w:val="19"/>
              <w:spacing w:before="24" w:line="360" w:lineRule="auto"/>
              <w:jc w:val="center"/>
              <w:rPr>
                <w:rFonts w:eastAsia="宋体"/>
                <w:b/>
                <w:bCs/>
                <w:color w:val="3B3838" w:themeColor="background2" w:themeShade="40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b/>
                <w:bCs/>
                <w:color w:val="3B3838" w:themeColor="background2" w:themeShade="40"/>
                <w:sz w:val="20"/>
                <w:szCs w:val="20"/>
                <w:lang w:eastAsia="zh-CN"/>
              </w:rPr>
              <w:t>LBT44GST4-M-SFP</w:t>
            </w:r>
          </w:p>
        </w:tc>
        <w:tc>
          <w:tcPr>
            <w:tcW w:w="7371" w:type="dxa"/>
            <w:vAlign w:val="center"/>
          </w:tcPr>
          <w:p w14:paraId="0E409E57">
            <w:pPr>
              <w:pStyle w:val="8"/>
              <w:spacing w:line="360" w:lineRule="auto"/>
              <w:ind w:left="0" w:firstLine="210" w:firstLineChars="100"/>
              <w:jc w:val="center"/>
              <w:rPr>
                <w:color w:val="3B3838" w:themeColor="background2" w:themeShade="40"/>
                <w:sz w:val="21"/>
                <w:szCs w:val="21"/>
              </w:rPr>
            </w:pPr>
            <w:r>
              <w:rPr>
                <w:rFonts w:hint="eastAsia" w:eastAsia="宋体"/>
                <w:color w:val="3B3838" w:themeColor="background2" w:themeShade="40"/>
                <w:sz w:val="21"/>
                <w:szCs w:val="21"/>
                <w:lang w:eastAsia="zh-CN"/>
              </w:rPr>
              <w:t>4</w:t>
            </w:r>
            <w:r>
              <w:rPr>
                <w:color w:val="3B3838" w:themeColor="background2" w:themeShade="40"/>
                <w:sz w:val="21"/>
                <w:szCs w:val="21"/>
              </w:rPr>
              <w:t>-Port gigabit</w:t>
            </w:r>
            <w:r>
              <w:rPr>
                <w:rFonts w:hint="eastAsia" w:eastAsia="宋体"/>
                <w:color w:val="3B3838" w:themeColor="background2" w:themeShade="40"/>
                <w:sz w:val="21"/>
                <w:szCs w:val="21"/>
                <w:lang w:eastAsia="zh-CN"/>
              </w:rPr>
              <w:t xml:space="preserve"> + </w:t>
            </w:r>
            <w:r>
              <w:rPr>
                <w:color w:val="3B3838" w:themeColor="background2" w:themeShade="40"/>
                <w:sz w:val="21"/>
                <w:szCs w:val="21"/>
              </w:rPr>
              <w:t>4-Port 10G SFP L3 Managed Industrial Switch</w:t>
            </w:r>
          </w:p>
        </w:tc>
      </w:tr>
    </w:tbl>
    <w:p w14:paraId="59A518F5">
      <w:pPr>
        <w:rPr>
          <w:rFonts w:ascii="Arial" w:hAnsi="Arial" w:cs="Arial"/>
        </w:rPr>
      </w:pPr>
    </w:p>
    <w:p w14:paraId="37958FDF">
      <w:pPr>
        <w:rPr>
          <w:rFonts w:ascii="Arial" w:hAnsi="Arial" w:cs="Arial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993" w:right="1274" w:bottom="709" w:left="1134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21364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EFAF3">
    <w:pPr>
      <w:pStyle w:val="6"/>
      <w:tabs>
        <w:tab w:val="left" w:pos="4572"/>
        <w:tab w:val="center" w:pos="4749"/>
      </w:tabs>
      <w:jc w:val="left"/>
    </w:pPr>
    <w:r>
      <w:t xml:space="preserve">                                                                      </w:t>
    </w:r>
    <w:r>
      <w:drawing>
        <wp:inline distT="0" distB="0" distL="0" distR="0">
          <wp:extent cx="2004060" cy="289560"/>
          <wp:effectExtent l="0" t="0" r="0" b="0"/>
          <wp:docPr id="298" name="图片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图片 29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234" cy="28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E90B3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292C2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kNzlhMDUwN2IzNDk1NmU3MjNkYzNkODJmM2I4YTMifQ=="/>
  </w:docVars>
  <w:rsids>
    <w:rsidRoot w:val="003566C9"/>
    <w:rsid w:val="00025740"/>
    <w:rsid w:val="000377E6"/>
    <w:rsid w:val="00053F3B"/>
    <w:rsid w:val="00055C8A"/>
    <w:rsid w:val="00056FAB"/>
    <w:rsid w:val="00060C66"/>
    <w:rsid w:val="00090F22"/>
    <w:rsid w:val="000E07D3"/>
    <w:rsid w:val="000F5FC6"/>
    <w:rsid w:val="00105B3E"/>
    <w:rsid w:val="001566AC"/>
    <w:rsid w:val="00156837"/>
    <w:rsid w:val="001804C8"/>
    <w:rsid w:val="00185EB9"/>
    <w:rsid w:val="00191C5A"/>
    <w:rsid w:val="00194E33"/>
    <w:rsid w:val="001B4E3F"/>
    <w:rsid w:val="001B78A9"/>
    <w:rsid w:val="001C6159"/>
    <w:rsid w:val="001D18F8"/>
    <w:rsid w:val="001F5016"/>
    <w:rsid w:val="0020036E"/>
    <w:rsid w:val="002071DB"/>
    <w:rsid w:val="00211C10"/>
    <w:rsid w:val="002140BB"/>
    <w:rsid w:val="002330B5"/>
    <w:rsid w:val="002344AA"/>
    <w:rsid w:val="002A1FCC"/>
    <w:rsid w:val="002A7BBC"/>
    <w:rsid w:val="002B1A8D"/>
    <w:rsid w:val="002C24E6"/>
    <w:rsid w:val="002C6CF4"/>
    <w:rsid w:val="002E2DE8"/>
    <w:rsid w:val="002F7EF9"/>
    <w:rsid w:val="00351803"/>
    <w:rsid w:val="003566C9"/>
    <w:rsid w:val="00370E39"/>
    <w:rsid w:val="00374035"/>
    <w:rsid w:val="00376543"/>
    <w:rsid w:val="003A39BC"/>
    <w:rsid w:val="003B37DD"/>
    <w:rsid w:val="003C020E"/>
    <w:rsid w:val="003C6715"/>
    <w:rsid w:val="003D18B8"/>
    <w:rsid w:val="003F2277"/>
    <w:rsid w:val="003F4B56"/>
    <w:rsid w:val="00402EAD"/>
    <w:rsid w:val="00452EFB"/>
    <w:rsid w:val="00457FA8"/>
    <w:rsid w:val="0047541D"/>
    <w:rsid w:val="004930E8"/>
    <w:rsid w:val="004C6CDD"/>
    <w:rsid w:val="004D0E82"/>
    <w:rsid w:val="004D45F1"/>
    <w:rsid w:val="004E2365"/>
    <w:rsid w:val="004E448A"/>
    <w:rsid w:val="004F5CC7"/>
    <w:rsid w:val="004F5FBA"/>
    <w:rsid w:val="004F6A92"/>
    <w:rsid w:val="005100CD"/>
    <w:rsid w:val="005134C1"/>
    <w:rsid w:val="00521513"/>
    <w:rsid w:val="00522F21"/>
    <w:rsid w:val="005379E4"/>
    <w:rsid w:val="00542DEF"/>
    <w:rsid w:val="00545EDD"/>
    <w:rsid w:val="00553972"/>
    <w:rsid w:val="00585737"/>
    <w:rsid w:val="00587324"/>
    <w:rsid w:val="005A24E1"/>
    <w:rsid w:val="005A6F49"/>
    <w:rsid w:val="005A789C"/>
    <w:rsid w:val="005B1417"/>
    <w:rsid w:val="005B6BD2"/>
    <w:rsid w:val="005E161E"/>
    <w:rsid w:val="005E369A"/>
    <w:rsid w:val="006135CE"/>
    <w:rsid w:val="006224AA"/>
    <w:rsid w:val="00625627"/>
    <w:rsid w:val="00647706"/>
    <w:rsid w:val="00672B89"/>
    <w:rsid w:val="006843C5"/>
    <w:rsid w:val="006C1D40"/>
    <w:rsid w:val="006C2C82"/>
    <w:rsid w:val="006C71EB"/>
    <w:rsid w:val="006C7FDB"/>
    <w:rsid w:val="006F0019"/>
    <w:rsid w:val="0072158E"/>
    <w:rsid w:val="00732D57"/>
    <w:rsid w:val="0073514A"/>
    <w:rsid w:val="00742FB7"/>
    <w:rsid w:val="007453AF"/>
    <w:rsid w:val="00762F1C"/>
    <w:rsid w:val="007632BD"/>
    <w:rsid w:val="00770B68"/>
    <w:rsid w:val="007819B1"/>
    <w:rsid w:val="00784E25"/>
    <w:rsid w:val="007A012D"/>
    <w:rsid w:val="007D2DD1"/>
    <w:rsid w:val="007D30DF"/>
    <w:rsid w:val="007D4D6D"/>
    <w:rsid w:val="007F2475"/>
    <w:rsid w:val="00834BC5"/>
    <w:rsid w:val="008421AF"/>
    <w:rsid w:val="008707FE"/>
    <w:rsid w:val="00872AF1"/>
    <w:rsid w:val="00875198"/>
    <w:rsid w:val="0089435F"/>
    <w:rsid w:val="0089479C"/>
    <w:rsid w:val="008A45B7"/>
    <w:rsid w:val="008A4A52"/>
    <w:rsid w:val="008B67E2"/>
    <w:rsid w:val="008C1918"/>
    <w:rsid w:val="00913C6E"/>
    <w:rsid w:val="00933C06"/>
    <w:rsid w:val="009371B0"/>
    <w:rsid w:val="009500BE"/>
    <w:rsid w:val="00954E0B"/>
    <w:rsid w:val="009573EE"/>
    <w:rsid w:val="00971793"/>
    <w:rsid w:val="0098556F"/>
    <w:rsid w:val="009956CB"/>
    <w:rsid w:val="009A3A24"/>
    <w:rsid w:val="009B7DB8"/>
    <w:rsid w:val="009C4B70"/>
    <w:rsid w:val="009D4897"/>
    <w:rsid w:val="009E3D2E"/>
    <w:rsid w:val="009F4511"/>
    <w:rsid w:val="009F6404"/>
    <w:rsid w:val="00A04CAA"/>
    <w:rsid w:val="00A17AF2"/>
    <w:rsid w:val="00A26D97"/>
    <w:rsid w:val="00A314E7"/>
    <w:rsid w:val="00A43EB3"/>
    <w:rsid w:val="00AA1149"/>
    <w:rsid w:val="00AA6B96"/>
    <w:rsid w:val="00B00931"/>
    <w:rsid w:val="00B04F73"/>
    <w:rsid w:val="00B13A0B"/>
    <w:rsid w:val="00B21826"/>
    <w:rsid w:val="00B248E1"/>
    <w:rsid w:val="00B4271A"/>
    <w:rsid w:val="00BD7014"/>
    <w:rsid w:val="00BE76D6"/>
    <w:rsid w:val="00C04048"/>
    <w:rsid w:val="00C07759"/>
    <w:rsid w:val="00C078E6"/>
    <w:rsid w:val="00C51DDF"/>
    <w:rsid w:val="00C61414"/>
    <w:rsid w:val="00C661D3"/>
    <w:rsid w:val="00CA0F5D"/>
    <w:rsid w:val="00CE0991"/>
    <w:rsid w:val="00CE37F4"/>
    <w:rsid w:val="00CF0824"/>
    <w:rsid w:val="00CF74E5"/>
    <w:rsid w:val="00D05CDB"/>
    <w:rsid w:val="00D209E5"/>
    <w:rsid w:val="00D365E9"/>
    <w:rsid w:val="00D829D7"/>
    <w:rsid w:val="00DA5307"/>
    <w:rsid w:val="00DB7CD9"/>
    <w:rsid w:val="00DD6A68"/>
    <w:rsid w:val="00E03160"/>
    <w:rsid w:val="00E06FE9"/>
    <w:rsid w:val="00E072D7"/>
    <w:rsid w:val="00E12A55"/>
    <w:rsid w:val="00E2399D"/>
    <w:rsid w:val="00E6680F"/>
    <w:rsid w:val="00E75B1C"/>
    <w:rsid w:val="00E8721D"/>
    <w:rsid w:val="00E93E85"/>
    <w:rsid w:val="00EA307D"/>
    <w:rsid w:val="00EC20C9"/>
    <w:rsid w:val="00ED02D7"/>
    <w:rsid w:val="00F061C5"/>
    <w:rsid w:val="00F17B94"/>
    <w:rsid w:val="00F27E80"/>
    <w:rsid w:val="00F5617E"/>
    <w:rsid w:val="00F657FE"/>
    <w:rsid w:val="00F75025"/>
    <w:rsid w:val="00F84C5D"/>
    <w:rsid w:val="00FA24FC"/>
    <w:rsid w:val="00FB3463"/>
    <w:rsid w:val="02EC2F60"/>
    <w:rsid w:val="055C30DB"/>
    <w:rsid w:val="09E23DB2"/>
    <w:rsid w:val="09FB1114"/>
    <w:rsid w:val="0DDB31B4"/>
    <w:rsid w:val="0F3D5D2B"/>
    <w:rsid w:val="0FC671BC"/>
    <w:rsid w:val="10A712D0"/>
    <w:rsid w:val="135B3152"/>
    <w:rsid w:val="13C95DDF"/>
    <w:rsid w:val="17311ED3"/>
    <w:rsid w:val="1C1D03C3"/>
    <w:rsid w:val="1FB931AC"/>
    <w:rsid w:val="24D138A9"/>
    <w:rsid w:val="27D24527"/>
    <w:rsid w:val="28990BC8"/>
    <w:rsid w:val="2C565FEB"/>
    <w:rsid w:val="2E7E58F3"/>
    <w:rsid w:val="2F176F1F"/>
    <w:rsid w:val="31444561"/>
    <w:rsid w:val="31F10586"/>
    <w:rsid w:val="36BD3722"/>
    <w:rsid w:val="38E70ED4"/>
    <w:rsid w:val="39F878FF"/>
    <w:rsid w:val="3C804435"/>
    <w:rsid w:val="3C835501"/>
    <w:rsid w:val="3FC51878"/>
    <w:rsid w:val="4155525B"/>
    <w:rsid w:val="41A86910"/>
    <w:rsid w:val="425628DC"/>
    <w:rsid w:val="44470AAB"/>
    <w:rsid w:val="476E4433"/>
    <w:rsid w:val="47FA3492"/>
    <w:rsid w:val="54311DA9"/>
    <w:rsid w:val="548D462B"/>
    <w:rsid w:val="54FA7077"/>
    <w:rsid w:val="55545149"/>
    <w:rsid w:val="5A897643"/>
    <w:rsid w:val="5CA45799"/>
    <w:rsid w:val="636558AF"/>
    <w:rsid w:val="685D53DA"/>
    <w:rsid w:val="6A074DF8"/>
    <w:rsid w:val="6B334618"/>
    <w:rsid w:val="71F40CAD"/>
    <w:rsid w:val="7406295F"/>
    <w:rsid w:val="762B4A78"/>
    <w:rsid w:val="782A3DBC"/>
    <w:rsid w:val="7A8C01CB"/>
    <w:rsid w:val="7E9D33A0"/>
    <w:rsid w:val="7EFC38D2"/>
    <w:rsid w:val="7FA84887"/>
    <w:rsid w:val="7FE2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1"/>
    <w:pPr>
      <w:autoSpaceDE w:val="0"/>
      <w:autoSpaceDN w:val="0"/>
      <w:ind w:left="107"/>
      <w:jc w:val="left"/>
      <w:outlineLvl w:val="0"/>
    </w:pPr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7"/>
    <w:qFormat/>
    <w:uiPriority w:val="1"/>
    <w:pPr>
      <w:autoSpaceDE w:val="0"/>
      <w:autoSpaceDN w:val="0"/>
      <w:jc w:val="left"/>
    </w:pPr>
    <w:rPr>
      <w:rFonts w:ascii="Arial" w:hAnsi="Arial" w:eastAsia="Arial" w:cs="Arial"/>
      <w:kern w:val="0"/>
      <w:sz w:val="15"/>
      <w:szCs w:val="15"/>
      <w:lang w:eastAsia="en-US"/>
    </w:rPr>
  </w:style>
  <w:style w:type="paragraph" w:styleId="4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link w:val="18"/>
    <w:qFormat/>
    <w:uiPriority w:val="1"/>
    <w:pPr>
      <w:autoSpaceDE w:val="0"/>
      <w:autoSpaceDN w:val="0"/>
      <w:ind w:left="125"/>
      <w:jc w:val="left"/>
    </w:pPr>
    <w:rPr>
      <w:rFonts w:ascii="Calibri" w:hAnsi="Calibri" w:eastAsia="Calibri" w:cs="Calibri"/>
      <w:kern w:val="0"/>
      <w:sz w:val="50"/>
      <w:szCs w:val="50"/>
      <w:lang w:eastAsia="en-US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6"/>
    <w:qFormat/>
    <w:uiPriority w:val="0"/>
    <w:rPr>
      <w:sz w:val="18"/>
      <w:szCs w:val="18"/>
    </w:rPr>
  </w:style>
  <w:style w:type="character" w:customStyle="1" w:styleId="14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1 字符"/>
    <w:basedOn w:val="11"/>
    <w:link w:val="2"/>
    <w:qFormat/>
    <w:uiPriority w:val="1"/>
    <w:rPr>
      <w:rFonts w:ascii="Lucida Sans" w:hAnsi="Lucida Sans" w:eastAsia="Lucida Sans" w:cs="Lucida Sans"/>
      <w:i/>
      <w:kern w:val="0"/>
      <w:sz w:val="16"/>
      <w:szCs w:val="16"/>
      <w:lang w:eastAsia="en-US"/>
    </w:rPr>
  </w:style>
  <w:style w:type="character" w:customStyle="1" w:styleId="17">
    <w:name w:val="正文文本 字符"/>
    <w:basedOn w:val="11"/>
    <w:link w:val="3"/>
    <w:qFormat/>
    <w:uiPriority w:val="1"/>
    <w:rPr>
      <w:rFonts w:ascii="Arial" w:hAnsi="Arial" w:eastAsia="Arial" w:cs="Arial"/>
      <w:kern w:val="0"/>
      <w:sz w:val="15"/>
      <w:szCs w:val="15"/>
      <w:lang w:eastAsia="en-US"/>
    </w:rPr>
  </w:style>
  <w:style w:type="character" w:customStyle="1" w:styleId="18">
    <w:name w:val="标题 字符"/>
    <w:basedOn w:val="11"/>
    <w:link w:val="8"/>
    <w:qFormat/>
    <w:uiPriority w:val="1"/>
    <w:rPr>
      <w:rFonts w:ascii="Calibri" w:hAnsi="Calibri" w:eastAsia="Calibri" w:cs="Calibri"/>
      <w:kern w:val="0"/>
      <w:sz w:val="50"/>
      <w:szCs w:val="50"/>
      <w:lang w:eastAsia="en-US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spacing w:before="39"/>
      <w:ind w:left="56"/>
      <w:jc w:val="left"/>
    </w:pPr>
    <w:rPr>
      <w:rFonts w:ascii="Arial" w:hAnsi="Arial" w:eastAsia="Arial" w:cs="Arial"/>
      <w:kern w:val="0"/>
      <w:sz w:val="22"/>
      <w:lang w:eastAsia="en-US"/>
    </w:rPr>
  </w:style>
  <w:style w:type="character" w:customStyle="1" w:styleId="20">
    <w:name w:val="transsent"/>
    <w:basedOn w:val="11"/>
    <w:qFormat/>
    <w:uiPriority w:val="0"/>
  </w:style>
  <w:style w:type="paragraph" w:customStyle="1" w:styleId="21">
    <w:name w:val="_tg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2">
    <w:name w:val="apple-converted-space"/>
    <w:basedOn w:val="11"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批注框文本 字符"/>
    <w:basedOn w:val="11"/>
    <w:link w:val="4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8442F7-5BF7-4AB6-AE4A-99865B5FC7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825</Words>
  <Characters>4932</Characters>
  <Lines>41</Lines>
  <Paragraphs>11</Paragraphs>
  <TotalTime>4</TotalTime>
  <ScaleCrop>false</ScaleCrop>
  <LinksUpToDate>false</LinksUpToDate>
  <CharactersWithSpaces>5631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2021-05-24T07:23:00Z</dcterms:created>
  <dc:creator>electronicsdeal@139.com</dc:creator>
  <cp:lastModifiedBy>刘小匪</cp:lastModifiedBy>
  <cp:lastPrinted>2021-05-25T01:37:00Z</cp:lastPrinted>
  <dcterms:modified xsi:type="dcterms:W3CDTF">2026-07-22T08:21:26Z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76B39B5789084AFEA35B1CD6EE1F7A96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